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61133">
      <w:pPr>
        <w:snapToGrid w:val="0"/>
        <w:spacing w:beforeLines="0" w:afterLines="0"/>
        <w:ind w:left="0" w:leftChars="0" w:right="0" w:rightChars="0" w:firstLine="0" w:firstLineChars="0"/>
        <w:jc w:val="left"/>
        <w:rPr>
          <w:rFonts w:hint="eastAsia" w:ascii="方正小标宋简体" w:hAnsi="方正小标宋简体" w:eastAsia="方正小标宋简体" w:cs="方正小标宋简体"/>
          <w:color w:val="000000"/>
          <w:sz w:val="44"/>
          <w:szCs w:val="44"/>
        </w:rPr>
      </w:pPr>
      <w:r>
        <w:rPr>
          <w:rFonts w:hint="default" w:ascii="Times New Roman" w:hAnsi="Times New Roman" w:eastAsia="宋体" w:cs="Times New Roman"/>
          <w:sz w:val="28"/>
          <w:szCs w:val="28"/>
        </w:rPr>
        <w:t>附件</w:t>
      </w:r>
      <w:bookmarkStart w:id="0" w:name="_GoBack"/>
      <w:bookmarkEnd w:id="0"/>
      <w:r>
        <w:rPr>
          <w:rFonts w:hint="default" w:ascii="Times New Roman" w:hAnsi="Times New Roman" w:eastAsia="宋体" w:cs="Times New Roman"/>
          <w:sz w:val="28"/>
          <w:szCs w:val="28"/>
        </w:rPr>
        <w:t>：</w:t>
      </w:r>
    </w:p>
    <w:tbl>
      <w:tblPr>
        <w:tblStyle w:val="2"/>
        <w:tblW w:w="88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
        <w:gridCol w:w="1595"/>
        <w:gridCol w:w="1350"/>
        <w:gridCol w:w="1105"/>
        <w:gridCol w:w="1991"/>
        <w:gridCol w:w="2343"/>
      </w:tblGrid>
      <w:tr w14:paraId="61FA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846" w:type="dxa"/>
            <w:gridSpan w:val="6"/>
            <w:tcBorders>
              <w:top w:val="nil"/>
              <w:left w:val="nil"/>
              <w:bottom w:val="nil"/>
              <w:right w:val="nil"/>
              <w:tl2br w:val="nil"/>
              <w:tr2bl w:val="nil"/>
            </w:tcBorders>
            <w:noWrap w:val="0"/>
            <w:vAlign w:val="center"/>
          </w:tcPr>
          <w:p w14:paraId="48BCD4E6">
            <w:pPr>
              <w:snapToGrid w:val="0"/>
              <w:spacing w:beforeLines="0" w:afterLines="0"/>
              <w:ind w:left="0" w:leftChars="0" w:right="0" w:rightChars="0" w:firstLine="0" w:firstLineChars="0"/>
              <w:jc w:val="center"/>
              <w:rPr>
                <w:rFonts w:hint="default" w:ascii="宋体" w:hAnsi="宋体" w:eastAsia="方正小标宋简体"/>
                <w:color w:val="000000"/>
                <w:sz w:val="22"/>
                <w:szCs w:val="24"/>
                <w:lang w:val="en-US" w:eastAsia="zh-CN"/>
              </w:rPr>
            </w:pPr>
            <w:r>
              <w:rPr>
                <w:rFonts w:hint="eastAsia" w:ascii="方正小标宋简体" w:hAnsi="方正小标宋简体" w:eastAsia="方正小标宋简体" w:cs="方正小标宋简体"/>
                <w:color w:val="000000"/>
                <w:sz w:val="44"/>
                <w:szCs w:val="44"/>
              </w:rPr>
              <w:t>2025年度主题案例申报</w:t>
            </w:r>
            <w:r>
              <w:rPr>
                <w:rFonts w:hint="eastAsia" w:ascii="方正小标宋简体" w:hAnsi="方正小标宋简体" w:eastAsia="方正小标宋简体" w:cs="方正小标宋简体"/>
                <w:color w:val="000000"/>
                <w:sz w:val="44"/>
                <w:szCs w:val="44"/>
                <w:lang w:val="en-US" w:eastAsia="zh-CN"/>
              </w:rPr>
              <w:t>汇报顺序</w:t>
            </w:r>
          </w:p>
        </w:tc>
      </w:tr>
      <w:tr w14:paraId="3CF6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D0E28">
            <w:pPr>
              <w:snapToGrid w:val="0"/>
              <w:spacing w:beforeLines="0" w:afterLines="0"/>
              <w:ind w:left="0" w:leftChars="0" w:right="0" w:rightChars="0" w:firstLine="0" w:firstLineChars="0"/>
              <w:jc w:val="center"/>
              <w:rPr>
                <w:rFonts w:hint="eastAsia" w:ascii="黑体" w:hAnsi="黑体" w:eastAsia="黑体"/>
                <w:b/>
                <w:color w:val="000000"/>
                <w:sz w:val="24"/>
                <w:szCs w:val="24"/>
              </w:rPr>
            </w:pPr>
            <w:r>
              <w:rPr>
                <w:rFonts w:hint="eastAsia" w:ascii="黑体" w:hAnsi="黑体" w:eastAsia="黑体"/>
                <w:b/>
                <w:color w:val="000000"/>
                <w:sz w:val="24"/>
                <w:szCs w:val="24"/>
              </w:rPr>
              <w:t>序号</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BFAB7">
            <w:pPr>
              <w:snapToGrid w:val="0"/>
              <w:spacing w:beforeLines="0" w:afterLines="0"/>
              <w:ind w:left="0" w:leftChars="0" w:right="0" w:rightChars="0" w:firstLine="0" w:firstLineChars="0"/>
              <w:jc w:val="center"/>
              <w:rPr>
                <w:rFonts w:hint="eastAsia" w:ascii="黑体" w:hAnsi="黑体" w:eastAsia="黑体"/>
                <w:b/>
                <w:color w:val="000000"/>
                <w:sz w:val="24"/>
                <w:szCs w:val="24"/>
              </w:rPr>
            </w:pPr>
            <w:r>
              <w:rPr>
                <w:rFonts w:hint="eastAsia" w:ascii="黑体" w:hAnsi="黑体" w:eastAsia="黑体"/>
                <w:b/>
                <w:color w:val="000000"/>
                <w:sz w:val="24"/>
                <w:szCs w:val="24"/>
              </w:rPr>
              <w:t>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650E4">
            <w:pPr>
              <w:snapToGrid w:val="0"/>
              <w:spacing w:beforeLines="0" w:afterLines="0"/>
              <w:ind w:left="0" w:leftChars="0" w:right="0" w:rightChars="0" w:firstLine="0" w:firstLineChars="0"/>
              <w:jc w:val="center"/>
              <w:rPr>
                <w:rFonts w:hint="eastAsia" w:ascii="黑体" w:hAnsi="黑体" w:eastAsia="黑体"/>
                <w:b/>
                <w:color w:val="000000"/>
                <w:sz w:val="24"/>
                <w:szCs w:val="24"/>
              </w:rPr>
            </w:pPr>
            <w:r>
              <w:rPr>
                <w:rFonts w:hint="eastAsia" w:ascii="黑体" w:hAnsi="黑体" w:eastAsia="黑体"/>
                <w:b/>
                <w:color w:val="000000"/>
                <w:sz w:val="24"/>
                <w:szCs w:val="24"/>
              </w:rPr>
              <w:t>首席专家姓名</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D0DD73">
            <w:pPr>
              <w:snapToGrid w:val="0"/>
              <w:spacing w:beforeLines="0" w:afterLines="0"/>
              <w:ind w:left="0" w:leftChars="0" w:right="0" w:rightChars="0" w:firstLine="0" w:firstLineChars="0"/>
              <w:jc w:val="center"/>
              <w:rPr>
                <w:rFonts w:hint="eastAsia" w:ascii="黑体" w:hAnsi="黑体" w:eastAsia="黑体"/>
                <w:b/>
                <w:color w:val="000000"/>
                <w:sz w:val="24"/>
                <w:szCs w:val="24"/>
              </w:rPr>
            </w:pPr>
            <w:r>
              <w:rPr>
                <w:rFonts w:hint="eastAsia" w:ascii="黑体" w:hAnsi="黑体" w:eastAsia="黑体"/>
                <w:b/>
                <w:color w:val="000000"/>
                <w:sz w:val="24"/>
                <w:szCs w:val="24"/>
              </w:rPr>
              <w:t>职称</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21B8C9">
            <w:pPr>
              <w:snapToGrid w:val="0"/>
              <w:spacing w:beforeLines="0" w:afterLines="0"/>
              <w:ind w:left="0" w:leftChars="0" w:right="0" w:rightChars="0" w:firstLine="0" w:firstLineChars="0"/>
              <w:jc w:val="center"/>
              <w:rPr>
                <w:rFonts w:hint="eastAsia" w:ascii="黑体" w:hAnsi="黑体" w:eastAsia="黑体"/>
                <w:b/>
                <w:color w:val="000000"/>
                <w:sz w:val="24"/>
                <w:szCs w:val="24"/>
              </w:rPr>
            </w:pPr>
            <w:r>
              <w:rPr>
                <w:rFonts w:hint="eastAsia" w:ascii="黑体" w:hAnsi="黑体" w:eastAsia="黑体"/>
                <w:b/>
                <w:color w:val="000000"/>
                <w:sz w:val="24"/>
                <w:szCs w:val="24"/>
              </w:rPr>
              <w:t>所选主题</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E671C">
            <w:pPr>
              <w:snapToGrid w:val="0"/>
              <w:spacing w:beforeLines="0" w:afterLines="0"/>
              <w:ind w:left="0" w:leftChars="0" w:right="0" w:rightChars="0" w:firstLine="0" w:firstLineChars="0"/>
              <w:jc w:val="center"/>
              <w:rPr>
                <w:rFonts w:hint="eastAsia" w:ascii="黑体" w:hAnsi="黑体" w:eastAsia="黑体"/>
                <w:b/>
                <w:color w:val="000000"/>
                <w:sz w:val="24"/>
                <w:szCs w:val="24"/>
              </w:rPr>
            </w:pPr>
            <w:r>
              <w:rPr>
                <w:rFonts w:hint="eastAsia" w:ascii="黑体" w:hAnsi="黑体" w:eastAsia="黑体"/>
                <w:b/>
                <w:color w:val="000000"/>
                <w:sz w:val="24"/>
                <w:szCs w:val="24"/>
              </w:rPr>
              <w:t>项目名称</w:t>
            </w:r>
          </w:p>
        </w:tc>
      </w:tr>
      <w:tr w14:paraId="7463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D299A">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1</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882596">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机电学院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DA337">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姚义清</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D36212">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教授</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BF767A">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现代化产业体系</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CC075B">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“微力无穷”——微生物引擎驱动的农业生物质固废厌氧发酵能肥联产</w:t>
            </w:r>
          </w:p>
        </w:tc>
      </w:tr>
      <w:tr w14:paraId="21BD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D9AD7">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2</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CA006C">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食品科学与工程学院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D9F0D8">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马婷婷</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D7729">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教授</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822E8">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现代化产业体系</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8A2717">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科技赋能・标准引领・链式跃迁——西北特色果品加工现代化转型与全链条价值提升案例研究</w:t>
            </w:r>
          </w:p>
        </w:tc>
      </w:tr>
      <w:tr w14:paraId="2D48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14A0C">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3</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D559F">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葡酒学院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5C60B">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孙翔宇</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44D80">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教授</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98E90A">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现代化产业体系</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D8BA7">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逆境突围·技创赋能·产业升级--酿酒葡萄非生物胁迫栽培技术创新与葡萄酒产业高质量发展案例研究</w:t>
            </w:r>
          </w:p>
        </w:tc>
      </w:tr>
      <w:tr w14:paraId="18CF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9C333F">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4</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B4407">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园艺学院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D19EE">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胡晓辉</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A40EFB">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教授</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A60132">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现代化产业体系</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6BB538">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智卉未来-融合数智技术的设施园艺全链条转型示范</w:t>
            </w:r>
          </w:p>
        </w:tc>
      </w:tr>
      <w:tr w14:paraId="739C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D7E8C">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5</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EC79C">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动医学院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483B4">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马保华</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50505">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教授</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F9F440">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现代化产业体系</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46271">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奶山羊高效繁殖生产技术体系</w:t>
            </w:r>
          </w:p>
        </w:tc>
      </w:tr>
      <w:tr w14:paraId="4649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5B92B">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6</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7BE2A1">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化学与药学院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BD20F">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耿会玲</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F68D7">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教授</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0D912A">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文化创新</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57658">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研发药用植物生物活性，传承创新中医药文化</w:t>
            </w:r>
          </w:p>
        </w:tc>
      </w:tr>
      <w:tr w14:paraId="7E82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A85871">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7</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4F5217">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风景园林艺术学院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FB9002">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张瑞超</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4ECDC">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教授</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4CA01">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文化创新</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89ED8">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葫芦文化生态系统化保护与创新发展</w:t>
            </w:r>
          </w:p>
        </w:tc>
      </w:tr>
      <w:tr w14:paraId="621C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C2089">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8</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45221D">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林学院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DD43C2">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曹扬</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AED57">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副研究员</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E20A15">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文化创新</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EED705">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秦岭祖脉的文化创新：农业遗产的数字转译与育人实践</w:t>
            </w:r>
          </w:p>
        </w:tc>
      </w:tr>
      <w:tr w14:paraId="30F4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D8A9C2">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9</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71BB0">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人文学院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381D9">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梁运娟</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51393">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副教授</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C5703">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文化创新</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C7617">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世界文化遗产 中华文明智慧——云南哈尼梯田生态系统的活态传承与永续发展</w:t>
            </w:r>
          </w:p>
        </w:tc>
      </w:tr>
      <w:tr w14:paraId="4FCF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A7E35">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10</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89FDC0">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农学院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3218CF">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冯佰利</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6CD2F">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教授</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7BF4E">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走出去</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2FA648">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战略牵引，科技赋能，标准输出，校企协同——一带一路国际化人才培养模式建设与实践</w:t>
            </w:r>
          </w:p>
        </w:tc>
      </w:tr>
      <w:tr w14:paraId="021F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591BD">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11</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BA7A1">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经济管理学院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25CA2">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张晓妮</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37F341">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教授</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F02C35">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走出去</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6DFEE">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农业科技合作“三联通”赋能高质量共建“一带一路”</w:t>
            </w:r>
          </w:p>
        </w:tc>
      </w:tr>
      <w:tr w14:paraId="54DC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464A7">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12</w:t>
            </w:r>
          </w:p>
        </w:tc>
        <w:tc>
          <w:tcPr>
            <w:tcW w:w="15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40EF5">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信息工程学院</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B3375">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王美丽</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5269A">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教授</w:t>
            </w:r>
          </w:p>
        </w:tc>
        <w:tc>
          <w:tcPr>
            <w:tcW w:w="19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2DCF5">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人工智能+</w:t>
            </w:r>
          </w:p>
        </w:tc>
        <w:tc>
          <w:tcPr>
            <w:tcW w:w="2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CBC44">
            <w:pPr>
              <w:snapToGrid w:val="0"/>
              <w:spacing w:beforeLines="0" w:afterLines="0"/>
              <w:ind w:left="0" w:leftChars="0" w:right="0" w:rightChars="0" w:firstLine="0" w:firstLineChars="0"/>
              <w:jc w:val="center"/>
              <w:rPr>
                <w:rFonts w:hint="eastAsia" w:ascii="宋体" w:hAnsi="宋体"/>
                <w:color w:val="000000"/>
                <w:sz w:val="20"/>
                <w:szCs w:val="24"/>
              </w:rPr>
            </w:pPr>
            <w:r>
              <w:rPr>
                <w:rFonts w:hint="eastAsia" w:ascii="宋体" w:hAnsi="宋体"/>
                <w:color w:val="000000"/>
                <w:sz w:val="20"/>
                <w:szCs w:val="24"/>
              </w:rPr>
              <w:t>智农新篇，畜势未来——AI驱动下的种植养殖智能感知与精准管控技术探索与实践</w:t>
            </w:r>
          </w:p>
        </w:tc>
      </w:tr>
    </w:tbl>
    <w:p w14:paraId="19A9E78A">
      <w:pPr>
        <w:rPr>
          <w:sz w:val="32"/>
          <w:szCs w:val="32"/>
        </w:rPr>
      </w:pPr>
    </w:p>
    <w:sectPr>
      <w:pgSz w:w="11906" w:h="16838"/>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EB048F"/>
    <w:rsid w:val="0F3550C8"/>
    <w:rsid w:val="2136746C"/>
    <w:rsid w:val="40082FC4"/>
    <w:rsid w:val="7FDF0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580</Words>
  <Characters>588</Characters>
  <Lines>0</Lines>
  <Paragraphs>0</Paragraphs>
  <TotalTime>1</TotalTime>
  <ScaleCrop>false</ScaleCrop>
  <LinksUpToDate>false</LinksUpToDate>
  <CharactersWithSpaces>589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2025-12-11T09:44:00Z</dcterms:created>
  <dc:creator>Admin</dc:creator>
  <cp:lastModifiedBy>桐漾</cp:lastModifiedBy>
  <cp:lastPrinted>2025-12-11T09:53:00Z</cp:lastPrinted>
  <dcterms:modified xsi:type="dcterms:W3CDTF">2025-12-12T10:00:33Z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eyJoZGlkIjoiMDQ5ZjU1YTJjY2IxYTRmYjdhYjYxMzk3M2NmMTkzYzEiLCJ1c2VySWQiOiIzOTU5NzAxNTAifQ==</vt:lpwstr>
  </property>
  <property fmtid="{D5CDD505-2E9C-101B-9397-08002B2CF9AE}" pid="4" name="ICV">
    <vt:lpwstr>B336271164CE47FFACB567E55692AD96_12</vt:lpwstr>
  </property>
</Properties>
</file>