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A7E94">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textAlignment w:val="auto"/>
        <w:rPr>
          <w:rFonts w:hint="default" w:ascii="宋体" w:hAnsi="宋体" w:eastAsia="宋体" w:cs="方正小标宋简体"/>
          <w:sz w:val="28"/>
          <w:szCs w:val="28"/>
          <w:lang w:val="en-US" w:eastAsia="zh-CN"/>
        </w:rPr>
      </w:pPr>
      <w:r>
        <w:rPr>
          <w:rFonts w:hint="eastAsia" w:ascii="宋体" w:hAnsi="宋体" w:eastAsia="宋体" w:cs="方正小标宋简体"/>
          <w:sz w:val="28"/>
          <w:szCs w:val="28"/>
          <w:lang w:val="en-US" w:eastAsia="zh-CN"/>
        </w:rPr>
        <w:t>附件1</w:t>
      </w:r>
    </w:p>
    <w:p w14:paraId="3915BB1A">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方正小标宋简体" w:hAnsi="方正小标宋简体" w:eastAsia="方正小标宋简体" w:cs="方正小标宋简体"/>
          <w:sz w:val="36"/>
          <w:szCs w:val="24"/>
          <w:lang w:val="en-US" w:eastAsia="zh-CN"/>
        </w:rPr>
      </w:pPr>
      <w:r>
        <w:rPr>
          <w:rFonts w:hint="eastAsia" w:ascii="方正小标宋简体" w:hAnsi="方正小标宋简体" w:eastAsia="方正小标宋简体" w:cs="方正小标宋简体"/>
          <w:sz w:val="36"/>
          <w:szCs w:val="24"/>
          <w:lang w:val="en-US" w:eastAsia="zh-CN"/>
        </w:rPr>
        <w:t>2025年校级教改研究项目结题验收汇报顺序</w:t>
      </w:r>
    </w:p>
    <w:tbl>
      <w:tblPr>
        <w:tblStyle w:val="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398"/>
        <w:gridCol w:w="3839"/>
        <w:gridCol w:w="1701"/>
      </w:tblGrid>
      <w:tr w14:paraId="4370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vAlign w:val="center"/>
          </w:tcPr>
          <w:p w14:paraId="476C6291">
            <w:pPr>
              <w:spacing w:line="240" w:lineRule="atLeast"/>
              <w:jc w:val="center"/>
              <w:rPr>
                <w:rFonts w:asciiTheme="minorEastAsia" w:hAnsiTheme="minorEastAsia"/>
                <w:b/>
                <w:sz w:val="28"/>
                <w:szCs w:val="28"/>
              </w:rPr>
            </w:pPr>
            <w:r>
              <w:rPr>
                <w:rFonts w:hint="eastAsia" w:asciiTheme="minorEastAsia" w:hAnsiTheme="minorEastAsia"/>
                <w:b/>
                <w:sz w:val="28"/>
                <w:szCs w:val="28"/>
              </w:rPr>
              <w:t>汇报顺序</w:t>
            </w:r>
          </w:p>
        </w:tc>
        <w:tc>
          <w:tcPr>
            <w:tcW w:w="2398" w:type="dxa"/>
            <w:vAlign w:val="center"/>
          </w:tcPr>
          <w:p w14:paraId="69C046A1">
            <w:pPr>
              <w:jc w:val="center"/>
              <w:rPr>
                <w:rFonts w:asciiTheme="minorEastAsia" w:hAnsiTheme="minorEastAsia"/>
                <w:b/>
                <w:sz w:val="28"/>
                <w:szCs w:val="28"/>
              </w:rPr>
            </w:pPr>
            <w:r>
              <w:rPr>
                <w:rFonts w:hint="eastAsia" w:asciiTheme="minorEastAsia" w:hAnsiTheme="minorEastAsia"/>
                <w:b/>
                <w:sz w:val="28"/>
                <w:szCs w:val="28"/>
              </w:rPr>
              <w:t>所在单位</w:t>
            </w:r>
          </w:p>
        </w:tc>
        <w:tc>
          <w:tcPr>
            <w:tcW w:w="3839" w:type="dxa"/>
            <w:vAlign w:val="center"/>
          </w:tcPr>
          <w:p w14:paraId="0430CF5D">
            <w:pPr>
              <w:jc w:val="center"/>
              <w:rPr>
                <w:rFonts w:asciiTheme="minorEastAsia" w:hAnsiTheme="minorEastAsia"/>
                <w:b/>
                <w:sz w:val="28"/>
                <w:szCs w:val="28"/>
              </w:rPr>
            </w:pPr>
            <w:r>
              <w:rPr>
                <w:rFonts w:hint="eastAsia" w:asciiTheme="minorEastAsia" w:hAnsiTheme="minorEastAsia"/>
                <w:b/>
                <w:sz w:val="28"/>
                <w:szCs w:val="28"/>
                <w:lang w:val="en-US" w:eastAsia="zh-CN"/>
              </w:rPr>
              <w:t>项目</w:t>
            </w:r>
            <w:r>
              <w:rPr>
                <w:rFonts w:hint="eastAsia" w:asciiTheme="minorEastAsia" w:hAnsiTheme="minorEastAsia"/>
                <w:b/>
                <w:sz w:val="28"/>
                <w:szCs w:val="28"/>
              </w:rPr>
              <w:t>名称</w:t>
            </w:r>
          </w:p>
        </w:tc>
        <w:tc>
          <w:tcPr>
            <w:tcW w:w="1701" w:type="dxa"/>
            <w:vAlign w:val="center"/>
          </w:tcPr>
          <w:p w14:paraId="64D006EC">
            <w:pPr>
              <w:jc w:val="center"/>
              <w:rPr>
                <w:rFonts w:asciiTheme="minorEastAsia" w:hAnsiTheme="minorEastAsia"/>
                <w:b/>
                <w:sz w:val="28"/>
                <w:szCs w:val="28"/>
              </w:rPr>
            </w:pPr>
            <w:r>
              <w:rPr>
                <w:rFonts w:hint="eastAsia" w:asciiTheme="minorEastAsia" w:hAnsiTheme="minorEastAsia"/>
                <w:b/>
                <w:sz w:val="28"/>
                <w:szCs w:val="28"/>
              </w:rPr>
              <w:t>负责人姓名</w:t>
            </w:r>
          </w:p>
        </w:tc>
      </w:tr>
      <w:tr w14:paraId="4E7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63C65CA4">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w:t>
            </w:r>
          </w:p>
        </w:tc>
        <w:tc>
          <w:tcPr>
            <w:tcW w:w="2398" w:type="dxa"/>
            <w:tcBorders>
              <w:top w:val="single" w:color="auto" w:sz="4" w:space="0"/>
              <w:left w:val="single" w:color="auto" w:sz="4" w:space="0"/>
              <w:bottom w:val="single" w:color="auto" w:sz="4" w:space="0"/>
              <w:right w:val="single" w:color="auto" w:sz="4" w:space="0"/>
            </w:tcBorders>
            <w:shd w:val="clear"/>
            <w:vAlign w:val="center"/>
          </w:tcPr>
          <w:p w14:paraId="326C46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园艺学院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24D0F9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“问题再现”教学设计在现代蔬菜科学进展中的探索</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3710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李征</w:t>
            </w:r>
          </w:p>
        </w:tc>
      </w:tr>
      <w:tr w14:paraId="4A2E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764E201D">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2</w:t>
            </w:r>
          </w:p>
        </w:tc>
        <w:tc>
          <w:tcPr>
            <w:tcW w:w="2398" w:type="dxa"/>
            <w:tcBorders>
              <w:top w:val="single" w:color="auto" w:sz="4" w:space="0"/>
              <w:left w:val="single" w:color="auto" w:sz="4" w:space="0"/>
              <w:bottom w:val="single" w:color="auto" w:sz="4" w:space="0"/>
              <w:right w:val="single" w:color="auto" w:sz="4" w:space="0"/>
            </w:tcBorders>
            <w:shd w:val="clear"/>
            <w:vAlign w:val="center"/>
          </w:tcPr>
          <w:p w14:paraId="3043FE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草业与草原学院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270AC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新时代农林高校提升研究生党支部建设质量的实践研究</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81E7C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苏蓉</w:t>
            </w:r>
          </w:p>
        </w:tc>
      </w:tr>
      <w:tr w14:paraId="4FC0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70DEFECF">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3</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1EF4DB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资源环境学院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4D11E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基于产业需求驱动的项目制研究生多学科交叉培养路径研究</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B7499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何刚</w:t>
            </w:r>
          </w:p>
        </w:tc>
      </w:tr>
      <w:tr w14:paraId="7B60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787EF4D4">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4</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63BA3E7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机械与电子工程学院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4DF8A0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基于柯氏评估模型的研究生创新能力培养与实施路径</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AAAA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马香丽</w:t>
            </w:r>
          </w:p>
        </w:tc>
      </w:tr>
      <w:tr w14:paraId="7AFE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0546285E">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5</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727B44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信息工程学院</w:t>
            </w:r>
          </w:p>
        </w:tc>
        <w:tc>
          <w:tcPr>
            <w:tcW w:w="3839" w:type="dxa"/>
            <w:tcBorders>
              <w:top w:val="single" w:color="auto" w:sz="4" w:space="0"/>
              <w:left w:val="single" w:color="auto" w:sz="4" w:space="0"/>
              <w:bottom w:val="single" w:color="auto" w:sz="4" w:space="0"/>
              <w:right w:val="single" w:color="auto" w:sz="4" w:space="0"/>
            </w:tcBorders>
            <w:shd w:val="clear"/>
            <w:vAlign w:val="center"/>
          </w:tcPr>
          <w:p w14:paraId="60187F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学科交叉背景下高等农林院校研究生智能素养提升路径探索</w:t>
            </w:r>
          </w:p>
        </w:tc>
        <w:tc>
          <w:tcPr>
            <w:tcW w:w="1701" w:type="dxa"/>
            <w:tcBorders>
              <w:top w:val="single" w:color="auto" w:sz="4" w:space="0"/>
              <w:left w:val="single" w:color="auto" w:sz="4" w:space="0"/>
              <w:bottom w:val="single" w:color="auto" w:sz="4" w:space="0"/>
              <w:right w:val="single" w:color="auto" w:sz="4" w:space="0"/>
            </w:tcBorders>
            <w:shd w:val="clear"/>
            <w:vAlign w:val="center"/>
          </w:tcPr>
          <w:p w14:paraId="283BCD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张宏鸣</w:t>
            </w:r>
          </w:p>
        </w:tc>
      </w:tr>
      <w:tr w14:paraId="0DBE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1294629A">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6</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00F3FB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食品科学与工程学院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4065B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研究生科研能力的提升研究</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437C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刘夫国</w:t>
            </w:r>
          </w:p>
        </w:tc>
      </w:tr>
      <w:tr w14:paraId="3BB4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0C33F513">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7</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2BB3E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经济管理学院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7922F9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农林高校研究生心理压力现状分析及对策研究——以西北农林科技大学为例</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4AAF6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张军驰</w:t>
            </w:r>
          </w:p>
        </w:tc>
      </w:tr>
      <w:tr w14:paraId="3382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61DE895B">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8</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09490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经济管理学院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4B89F2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虚拟现实（VR）技术在农林经济管理人才培养中的应用研究：以《食品经济与管理》课程为例</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F0579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任彦军</w:t>
            </w:r>
          </w:p>
        </w:tc>
      </w:tr>
      <w:tr w14:paraId="1B7B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7216AE5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9</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2E2674C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人文社会发展学院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25E9E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人文社科研究生学习型社团服务“有组织科研”的探索与实践</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09935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穆闯录</w:t>
            </w:r>
          </w:p>
        </w:tc>
      </w:tr>
      <w:tr w14:paraId="409C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69D90F73">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10</w:t>
            </w:r>
          </w:p>
        </w:tc>
        <w:tc>
          <w:tcPr>
            <w:tcW w:w="2398" w:type="dxa"/>
            <w:tcBorders>
              <w:top w:val="nil"/>
              <w:left w:val="single" w:color="auto" w:sz="4" w:space="0"/>
              <w:bottom w:val="single" w:color="auto" w:sz="4" w:space="0"/>
              <w:right w:val="single" w:color="auto" w:sz="4" w:space="0"/>
            </w:tcBorders>
            <w:shd w:val="clear" w:color="auto" w:fill="auto"/>
            <w:vAlign w:val="center"/>
          </w:tcPr>
          <w:p w14:paraId="0A9DBB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人文社会发展学院</w:t>
            </w:r>
          </w:p>
        </w:tc>
        <w:tc>
          <w:tcPr>
            <w:tcW w:w="3839" w:type="dxa"/>
            <w:tcBorders>
              <w:top w:val="nil"/>
              <w:left w:val="single" w:color="auto" w:sz="4" w:space="0"/>
              <w:bottom w:val="single" w:color="auto" w:sz="4" w:space="0"/>
              <w:right w:val="single" w:color="auto" w:sz="4" w:space="0"/>
            </w:tcBorders>
            <w:shd w:val="clear" w:color="auto" w:fill="auto"/>
            <w:vAlign w:val="center"/>
          </w:tcPr>
          <w:p w14:paraId="2F868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社会工作专业硕士实践教学模式研究</w:t>
            </w:r>
          </w:p>
        </w:tc>
        <w:tc>
          <w:tcPr>
            <w:tcW w:w="1701" w:type="dxa"/>
            <w:tcBorders>
              <w:top w:val="nil"/>
              <w:left w:val="single" w:color="auto" w:sz="4" w:space="0"/>
              <w:bottom w:val="single" w:color="auto" w:sz="4" w:space="0"/>
              <w:right w:val="single" w:color="auto" w:sz="4" w:space="0"/>
            </w:tcBorders>
            <w:shd w:val="clear" w:color="auto" w:fill="auto"/>
            <w:vAlign w:val="center"/>
          </w:tcPr>
          <w:p w14:paraId="3BA6E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张红</w:t>
            </w:r>
          </w:p>
        </w:tc>
      </w:tr>
      <w:tr w14:paraId="4576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466E6E78">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11</w:t>
            </w:r>
          </w:p>
        </w:tc>
        <w:tc>
          <w:tcPr>
            <w:tcW w:w="2398" w:type="dxa"/>
            <w:tcBorders>
              <w:top w:val="nil"/>
              <w:left w:val="single" w:color="auto" w:sz="4" w:space="0"/>
              <w:bottom w:val="single" w:color="auto" w:sz="4" w:space="0"/>
              <w:right w:val="single" w:color="auto" w:sz="4" w:space="0"/>
            </w:tcBorders>
            <w:shd w:val="clear" w:color="auto" w:fill="auto"/>
            <w:vAlign w:val="center"/>
          </w:tcPr>
          <w:p w14:paraId="3828D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人文社会发展学院</w:t>
            </w:r>
          </w:p>
        </w:tc>
        <w:tc>
          <w:tcPr>
            <w:tcW w:w="3839" w:type="dxa"/>
            <w:tcBorders>
              <w:top w:val="nil"/>
              <w:left w:val="single" w:color="auto" w:sz="4" w:space="0"/>
              <w:bottom w:val="single" w:color="auto" w:sz="4" w:space="0"/>
              <w:right w:val="single" w:color="auto" w:sz="4" w:space="0"/>
            </w:tcBorders>
            <w:shd w:val="clear" w:color="auto" w:fill="auto"/>
            <w:vAlign w:val="center"/>
          </w:tcPr>
          <w:p w14:paraId="06E1E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全日制农村发展专业学位研究生培养质量提升路径研究</w:t>
            </w:r>
          </w:p>
        </w:tc>
        <w:tc>
          <w:tcPr>
            <w:tcW w:w="1701" w:type="dxa"/>
            <w:tcBorders>
              <w:top w:val="nil"/>
              <w:left w:val="single" w:color="auto" w:sz="4" w:space="0"/>
              <w:bottom w:val="single" w:color="auto" w:sz="4" w:space="0"/>
              <w:right w:val="single" w:color="auto" w:sz="4" w:space="0"/>
            </w:tcBorders>
            <w:shd w:val="clear" w:color="auto" w:fill="auto"/>
            <w:vAlign w:val="center"/>
          </w:tcPr>
          <w:p w14:paraId="357C3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樊凡</w:t>
            </w:r>
          </w:p>
        </w:tc>
      </w:tr>
      <w:tr w14:paraId="2E2A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20210ABA">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12</w:t>
            </w:r>
          </w:p>
        </w:tc>
        <w:tc>
          <w:tcPr>
            <w:tcW w:w="2398" w:type="dxa"/>
            <w:tcBorders>
              <w:top w:val="nil"/>
              <w:left w:val="single" w:color="auto" w:sz="4" w:space="0"/>
              <w:bottom w:val="single" w:color="auto" w:sz="4" w:space="0"/>
              <w:right w:val="single" w:color="auto" w:sz="4" w:space="0"/>
            </w:tcBorders>
            <w:shd w:val="clear" w:color="auto" w:fill="auto"/>
            <w:vAlign w:val="center"/>
          </w:tcPr>
          <w:p w14:paraId="27F36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人文社会发展学院</w:t>
            </w:r>
          </w:p>
        </w:tc>
        <w:tc>
          <w:tcPr>
            <w:tcW w:w="3839" w:type="dxa"/>
            <w:tcBorders>
              <w:top w:val="nil"/>
              <w:left w:val="single" w:color="auto" w:sz="4" w:space="0"/>
              <w:bottom w:val="single" w:color="auto" w:sz="4" w:space="0"/>
              <w:right w:val="single" w:color="auto" w:sz="4" w:space="0"/>
            </w:tcBorders>
            <w:shd w:val="clear" w:color="auto" w:fill="auto"/>
            <w:vAlign w:val="center"/>
          </w:tcPr>
          <w:p w14:paraId="5B3F8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“法治小院”实践教学研究</w:t>
            </w:r>
          </w:p>
        </w:tc>
        <w:tc>
          <w:tcPr>
            <w:tcW w:w="1701" w:type="dxa"/>
            <w:tcBorders>
              <w:top w:val="nil"/>
              <w:left w:val="single" w:color="auto" w:sz="4" w:space="0"/>
              <w:bottom w:val="single" w:color="auto" w:sz="4" w:space="0"/>
              <w:right w:val="single" w:color="auto" w:sz="4" w:space="0"/>
            </w:tcBorders>
            <w:shd w:val="clear" w:color="auto" w:fill="auto"/>
            <w:vAlign w:val="center"/>
          </w:tcPr>
          <w:p w14:paraId="34FB3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刘鹏</w:t>
            </w:r>
          </w:p>
        </w:tc>
      </w:tr>
      <w:tr w14:paraId="1026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7151B9CD">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13</w:t>
            </w:r>
          </w:p>
        </w:tc>
        <w:tc>
          <w:tcPr>
            <w:tcW w:w="2398" w:type="dxa"/>
            <w:tcBorders>
              <w:top w:val="nil"/>
              <w:left w:val="single" w:color="auto" w:sz="4" w:space="0"/>
              <w:bottom w:val="single" w:color="auto" w:sz="4" w:space="0"/>
              <w:right w:val="single" w:color="auto" w:sz="4" w:space="0"/>
            </w:tcBorders>
            <w:shd w:val="clear" w:color="auto" w:fill="auto"/>
            <w:vAlign w:val="center"/>
          </w:tcPr>
          <w:p w14:paraId="36987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3839" w:type="dxa"/>
            <w:tcBorders>
              <w:top w:val="nil"/>
              <w:left w:val="single" w:color="auto" w:sz="4" w:space="0"/>
              <w:bottom w:val="single" w:color="auto" w:sz="4" w:space="0"/>
              <w:right w:val="single" w:color="auto" w:sz="4" w:space="0"/>
            </w:tcBorders>
            <w:shd w:val="clear" w:color="auto" w:fill="auto"/>
            <w:vAlign w:val="center"/>
          </w:tcPr>
          <w:p w14:paraId="42E481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乡村振兴背景下农林高校研究生思政教育实效提升的路径研究</w:t>
            </w:r>
          </w:p>
        </w:tc>
        <w:tc>
          <w:tcPr>
            <w:tcW w:w="1701" w:type="dxa"/>
            <w:tcBorders>
              <w:top w:val="nil"/>
              <w:left w:val="single" w:color="auto" w:sz="4" w:space="0"/>
              <w:bottom w:val="single" w:color="auto" w:sz="4" w:space="0"/>
              <w:right w:val="single" w:color="auto" w:sz="4" w:space="0"/>
            </w:tcBorders>
            <w:shd w:val="clear" w:color="auto" w:fill="auto"/>
            <w:vAlign w:val="center"/>
          </w:tcPr>
          <w:p w14:paraId="3BE4A5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隋牧蓉</w:t>
            </w:r>
          </w:p>
        </w:tc>
      </w:tr>
      <w:tr w14:paraId="340B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vAlign w:val="center"/>
          </w:tcPr>
          <w:p w14:paraId="63AF22C8">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14</w:t>
            </w:r>
          </w:p>
        </w:tc>
        <w:tc>
          <w:tcPr>
            <w:tcW w:w="2398" w:type="dxa"/>
            <w:tcBorders>
              <w:top w:val="nil"/>
              <w:left w:val="single" w:color="auto" w:sz="4" w:space="0"/>
              <w:bottom w:val="single" w:color="auto" w:sz="4" w:space="0"/>
              <w:right w:val="single" w:color="auto" w:sz="4" w:space="0"/>
            </w:tcBorders>
            <w:shd w:val="clear" w:color="auto" w:fill="auto"/>
            <w:vAlign w:val="center"/>
          </w:tcPr>
          <w:p w14:paraId="3E1F9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3839" w:type="dxa"/>
            <w:tcBorders>
              <w:top w:val="nil"/>
              <w:left w:val="single" w:color="auto" w:sz="4" w:space="0"/>
              <w:bottom w:val="single" w:color="auto" w:sz="4" w:space="0"/>
              <w:right w:val="single" w:color="auto" w:sz="4" w:space="0"/>
            </w:tcBorders>
            <w:shd w:val="clear" w:color="auto" w:fill="auto"/>
            <w:vAlign w:val="center"/>
          </w:tcPr>
          <w:p w14:paraId="36507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新时代研究生“党建+”思想政治教育工作模式研究</w:t>
            </w:r>
          </w:p>
        </w:tc>
        <w:tc>
          <w:tcPr>
            <w:tcW w:w="1701" w:type="dxa"/>
            <w:tcBorders>
              <w:top w:val="nil"/>
              <w:left w:val="single" w:color="auto" w:sz="4" w:space="0"/>
              <w:bottom w:val="single" w:color="auto" w:sz="4" w:space="0"/>
              <w:right w:val="single" w:color="auto" w:sz="4" w:space="0"/>
            </w:tcBorders>
            <w:shd w:val="clear" w:color="auto" w:fill="auto"/>
            <w:vAlign w:val="center"/>
          </w:tcPr>
          <w:p w14:paraId="74ACC7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崔宇</w:t>
            </w:r>
          </w:p>
        </w:tc>
      </w:tr>
      <w:tr w14:paraId="5A3E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vAlign w:val="center"/>
          </w:tcPr>
          <w:p w14:paraId="2F8CA19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15</w:t>
            </w:r>
          </w:p>
        </w:tc>
        <w:tc>
          <w:tcPr>
            <w:tcW w:w="2398" w:type="dxa"/>
            <w:tcBorders>
              <w:top w:val="nil"/>
              <w:left w:val="single" w:color="auto" w:sz="4" w:space="0"/>
              <w:bottom w:val="single" w:color="auto" w:sz="4" w:space="0"/>
              <w:right w:val="single" w:color="auto" w:sz="4" w:space="0"/>
            </w:tcBorders>
            <w:shd w:val="clear" w:color="auto" w:fill="auto"/>
            <w:vAlign w:val="center"/>
          </w:tcPr>
          <w:p w14:paraId="25B68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3839" w:type="dxa"/>
            <w:tcBorders>
              <w:top w:val="nil"/>
              <w:left w:val="single" w:color="auto" w:sz="4" w:space="0"/>
              <w:bottom w:val="single" w:color="auto" w:sz="4" w:space="0"/>
              <w:right w:val="single" w:color="auto" w:sz="4" w:space="0"/>
            </w:tcBorders>
            <w:shd w:val="clear" w:color="auto" w:fill="auto"/>
            <w:vAlign w:val="center"/>
          </w:tcPr>
          <w:p w14:paraId="6C44B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以案例教学推动研究生课堂教学模式改革的理论与实践研究</w:t>
            </w:r>
          </w:p>
        </w:tc>
        <w:tc>
          <w:tcPr>
            <w:tcW w:w="1701" w:type="dxa"/>
            <w:tcBorders>
              <w:top w:val="nil"/>
              <w:left w:val="single" w:color="auto" w:sz="4" w:space="0"/>
              <w:bottom w:val="single" w:color="auto" w:sz="4" w:space="0"/>
              <w:right w:val="single" w:color="auto" w:sz="4" w:space="0"/>
            </w:tcBorders>
            <w:shd w:val="clear" w:color="auto" w:fill="auto"/>
            <w:vAlign w:val="center"/>
          </w:tcPr>
          <w:p w14:paraId="503E8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张坤</w:t>
            </w:r>
          </w:p>
        </w:tc>
      </w:tr>
      <w:tr w14:paraId="3FFB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vAlign w:val="center"/>
          </w:tcPr>
          <w:p w14:paraId="0D47D36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16</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414D18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71EE2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西北农林科技大学人文社科类研究生导师队伍能力提升制度建构研究</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5238E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关振国</w:t>
            </w:r>
          </w:p>
        </w:tc>
      </w:tr>
      <w:tr w14:paraId="7776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14505D13">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17</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73F7E1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马克思主义学院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51390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新时代农林高校马克思主义理论学科硕士研究生科研能力提升路径研究</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118D1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高小升</w:t>
            </w:r>
          </w:p>
        </w:tc>
      </w:tr>
      <w:tr w14:paraId="3548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093993CB">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18</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5A1076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综合素质教育学院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6D544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以积极心理品质培育为导向的研究生心理健康教育模式探索</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5DD59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符丹</w:t>
            </w:r>
          </w:p>
        </w:tc>
      </w:tr>
      <w:tr w14:paraId="18B7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095C54B4">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19</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2AE616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就业指导中心</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042B4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就业育人理念下的研究生就业指导体系构建与完善</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AD18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靳红</w:t>
            </w:r>
          </w:p>
        </w:tc>
      </w:tr>
      <w:tr w14:paraId="7F95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2A7CBD4A">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20</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369A30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科学技术发展研究院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7A70D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基于学术论文视角的硕士研究生科研能力影响因素研究</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ACD18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霍振响</w:t>
            </w:r>
          </w:p>
        </w:tc>
      </w:tr>
      <w:tr w14:paraId="6F20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8" w:type="dxa"/>
            <w:shd w:val="clear" w:color="auto" w:fill="auto"/>
            <w:vAlign w:val="center"/>
          </w:tcPr>
          <w:p w14:paraId="2B17694E">
            <w:pPr>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21</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14:paraId="6A7F63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研究生院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14:paraId="496F81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校院两级研究生教育质量督导保障体系研究与实践</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6E3E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戴开军</w:t>
            </w:r>
          </w:p>
        </w:tc>
      </w:tr>
    </w:tbl>
    <w:p w14:paraId="70CD139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10"/>
    <w:rsid w:val="000B3463"/>
    <w:rsid w:val="001C2C20"/>
    <w:rsid w:val="00246CC2"/>
    <w:rsid w:val="00360E36"/>
    <w:rsid w:val="00687308"/>
    <w:rsid w:val="008177FA"/>
    <w:rsid w:val="00822C6D"/>
    <w:rsid w:val="00826862"/>
    <w:rsid w:val="008C5F19"/>
    <w:rsid w:val="00910AFD"/>
    <w:rsid w:val="0091574E"/>
    <w:rsid w:val="00970ACE"/>
    <w:rsid w:val="009F29B6"/>
    <w:rsid w:val="00B03B9E"/>
    <w:rsid w:val="00CC0011"/>
    <w:rsid w:val="00CC0048"/>
    <w:rsid w:val="00CE37EE"/>
    <w:rsid w:val="00D30A10"/>
    <w:rsid w:val="00D602B7"/>
    <w:rsid w:val="01B56062"/>
    <w:rsid w:val="19C055D4"/>
    <w:rsid w:val="29115D04"/>
    <w:rsid w:val="2A3B40BA"/>
    <w:rsid w:val="2CC22E97"/>
    <w:rsid w:val="614D1CB4"/>
    <w:rsid w:val="66FB7FFF"/>
    <w:rsid w:val="6E0E1C9B"/>
    <w:rsid w:val="7D30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335</Words>
  <Characters>362</Characters>
  <Lines>6</Lines>
  <Paragraphs>1</Paragraphs>
  <TotalTime>15</TotalTime>
  <ScaleCrop>false</ScaleCrop>
  <LinksUpToDate>false</LinksUpToDate>
  <CharactersWithSpaces>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2024-10-17T01:16:00Z</dcterms:created>
  <dc:creator>苏美琼</dc:creator>
  <cp:lastModifiedBy>飘飞的走走</cp:lastModifiedBy>
  <cp:lastPrinted>2025-11-07T06:50:00Z</cp:lastPrinted>
  <dcterms:modified xsi:type="dcterms:W3CDTF">2025-11-12T03:07:39Z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eyJoZGlkIjoiYmE1N2FlZDA1NjMzYTRiMWI2OGY5MDdmZTU1OTk2YWMiLCJ1c2VySWQiOiIxMTM1MjAzMzU5In0=</vt:lpwstr>
  </property>
  <property fmtid="{D5CDD505-2E9C-101B-9397-08002B2CF9AE}" pid="3" name="KSOProductBuildVer">
    <vt:lpwstr>2052-12.1.0.23542</vt:lpwstr>
  </property>
  <property fmtid="{D5CDD505-2E9C-101B-9397-08002B2CF9AE}" pid="4" name="ICV">
    <vt:lpwstr>6E876D1DE15F4BB496B9B94473A982A6_13</vt:lpwstr>
  </property>
</Properties>
</file>